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4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Tisková zpráva: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Začíná Pražské Quadriennale 2023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Paletu zážitků nabízí na třech hlavních lokacích i veřejných místech Prahy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Praha, 7. června 2023 - 15. ročník multižánrového festivalu Pražské Quadriennale scénografie a divadelního prostoru 2023 je zahájen. Během jedenácti dní zve na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 pestrý program,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od živelných performancí v ulicích Prahy a na venkovních promenádách své hlavní lokace, Holešovické tržnice, přes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white"/>
          <w:rtl w:val="0"/>
        </w:rPr>
        <w:t xml:space="preserve">program svěžích performancí studentů a začínajících umělců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 na DAMU, až po klidnější projekty věnované scénografickým prvkům a divadelní architektuře ve Veletržním paláci Národní galerie Praha.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Holešovická tržnice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Významná část programu se odehrává v příjemně rušné atmosféře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Holešovické tržnice,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která je zároveň centrem dění festivalu. Návštěvníkům nabízí imerzivní a dynamické instalace na náměstí v rámci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Studentské výstavy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které zachycují přístupy studentů a mladých tvůrců v unikátním sdíleném prostoru pod širým nebem. Impozantní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haly 11, 13 a 17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jsou dějištěm hlavní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Výstavy zemí a regionů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Celkem se na hlavních výstavách představí sto tvůrčích týmů z 59 zemí a regionů.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Umělecká ředitelka festivalu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Markéta Fantová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zamýšlí nad jejich tématickým rozpětím: “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Při nahlédnutí do programu rezonují v hlavních výstavách čtyři zajímavé okruhy. Prvním je postpandemické zamyšlení se nad křehkostí a pomíjivostí lidského bytí, a nad tím, co je to vlastně domov. V jiných výstavách se zrcadlí urbanismus města s urbanismem určitého typu myšlení o čase a prostoru, místech setkání a způsobu využití veřejného prostoru jak fyzického tak digitálního. Nejbarevnější a nejživelnější jsou výstavy inspirované vlastními tradicemi, folklorem nebo legendami. Posledním palčivým tématem je udržitelnost ve vztahu ke konzumu a jeho ekologickým dopadům.”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originálních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přístupech k hlavnímu tématu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přináší země a regiony komplexní mozaiku společensko-kritických vhledů do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rozmanitosti kultur pomocí nejrůznějších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uměleckých vyjadřovacích prostředků.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Samotné výstavy doplňují 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živé akce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uměleckých týmů uvnitř hlavních výstav. V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korzech mezi halami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proběhne také řada představení manipulujících prostor, pohyb i čas, a to v rámci programu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PQ Performance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Ty budou v mnoha případech vybízet účastníky k aktivní participaci a zapojení vlastní fantazie.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Veletržní palác NGP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Soustředěný, vizuálně poutavý a reflexivní program nabízí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 patro Veletržního paláce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kde se setkávají pohledy do scénografických světů skrze pět programových sekcí a desítky tvůrčích přístupů. Od 35 inovativních prostorů pro performance představených v rámci multimediálních instalací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Výstavy divadelního prostoru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můžete putovat k výstavě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Fragmenty II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která uvádí neotřelým způsobem 23 děl - modelů, scén či objektů v hravé práci s měřítkem. Od ní se návštěvníci mohou přesunout k výstavě knih přihlášených do soutěže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Cena za nejlepší publikaci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nebo na výstavu studentských zásahů do veřejného prostoru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[UN]Common Design Project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Svou cestu mohou zakončit na jedné z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PQ Performancí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které se uskuteční v prostorách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Malé Dvorany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nebo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Piazzetty NGP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Veřejná místa Prahy a DAMU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během samotné trasy mezi lokacemi čekají návštěvníky tvůrčí akce na několika místech Prahy, např. v parku Vltavská nebo na ostrově Štvanice, který je dějištěm těch temnějších a vážnějších profesionálních i studentských performancí. Hlavní část studentského programu se pak odehrává v budově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DAMU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 divadle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DISK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 podobě pásma progresivních studentských představení, instalací a výstav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PQ Studio Stage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navazujícího na tradiční festival Zlomvaz.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Večery PQ jsou věnovány především keynote prezentacím renomovaných hostů v rámci obsáhlého diskuzního programu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PQ Talks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divadle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Jatka78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Zde také proběhne 13. června slavnostní předávání cen, včetně prestižního hlavního ocenění Zlatá Triga, o které se ucházejí projekty v soutěžních hlavních výstavách. Festival láká také na bohatý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hudební program PQ Chill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 kavárně Jatek78, na náměstí tržnice nebo na střeše DAMU.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 festivalu lze vychutnat i s jednodenní vstupenkou na výstavy, se kterou návštěvník zvládne projít výstavní projekty, zažít 1-2 performance a den zakončit na některém z večírků. Svoji vstupenku si můžete zakoupit na místě v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Centrální hale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Holešovické tržnice, v prodeji jsou 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1, 3 a 11denní Festival Passy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Více informací najdete na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webu PQ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stejně jako detailní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denní program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45"/>
        </w:tabs>
        <w:spacing w:line="276" w:lineRule="auto"/>
        <w:jc w:val="both"/>
        <w:rPr>
          <w:rFonts w:ascii="Georgia" w:cs="Georgia" w:eastAsia="Georgia" w:hAnsi="Georgia"/>
          <w:color w:val="000000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jc w:val="both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jc w:val="both"/>
        <w:rPr>
          <w:rFonts w:ascii="Georgia" w:cs="Georgia" w:eastAsia="Georgia" w:hAnsi="Georgia"/>
          <w:b w:val="1"/>
          <w:color w:val="000000"/>
          <w:sz w:val="18"/>
          <w:szCs w:val="18"/>
        </w:rPr>
      </w:pPr>
      <w:hyperlink r:id="rId9">
        <w:r w:rsidDel="00000000" w:rsidR="00000000" w:rsidRPr="00000000">
          <w:rPr>
            <w:rFonts w:ascii="Georgia" w:cs="Georgia" w:eastAsia="Georgia" w:hAnsi="Georgia"/>
            <w:b w:val="1"/>
            <w:color w:val="000000"/>
            <w:sz w:val="18"/>
            <w:szCs w:val="18"/>
            <w:u w:val="single"/>
            <w:rtl w:val="0"/>
          </w:rPr>
          <w:t xml:space="preserve">Pražské Quadriennale scénografie a divadelního prostoru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jc w:val="both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000000"/>
          <w:sz w:val="18"/>
          <w:szCs w:val="18"/>
          <w:rtl w:val="0"/>
        </w:rPr>
        <w:t xml:space="preserve">od roku 1967 každé čtyři roky zkoumá umělecké oblasti scénografie, performance designu a prostoru se všemi jejich aspekty – od scénického umění, kostýmu, světelného a zvukového designu a architektury prostoru performance až po site-adaptive performance, aplikovanou scénografii, rozšířenou a virtuální realitu, technologie jako Motion Capture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:rsidR="00000000" w:rsidDel="00000000" w:rsidP="00000000" w:rsidRDefault="00000000" w:rsidRPr="00000000" w14:paraId="0000001C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jc w:val="both"/>
        <w:rPr>
          <w:rFonts w:ascii="Georgia" w:cs="Georgia" w:eastAsia="Georgia" w:hAnsi="Georgia"/>
          <w:i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:rsidR="00000000" w:rsidDel="00000000" w:rsidP="00000000" w:rsidRDefault="00000000" w:rsidRPr="00000000" w14:paraId="0000001E">
      <w:pPr>
        <w:spacing w:line="264" w:lineRule="auto"/>
        <w:jc w:val="both"/>
        <w:rPr>
          <w:rFonts w:ascii="Georgia" w:cs="Georgia" w:eastAsia="Georgia" w:hAnsi="Georgia"/>
          <w:i w:val="1"/>
          <w:color w:val="000000"/>
          <w:sz w:val="18"/>
          <w:szCs w:val="18"/>
        </w:rPr>
      </w:pPr>
      <w:hyperlink r:id="rId10">
        <w:r w:rsidDel="00000000" w:rsidR="00000000" w:rsidRPr="00000000">
          <w:rPr>
            <w:rFonts w:ascii="Georgia" w:cs="Georgia" w:eastAsia="Georgia" w:hAnsi="Georgia"/>
            <w:i w:val="1"/>
            <w:color w:val="000000"/>
            <w:sz w:val="18"/>
            <w:szCs w:val="18"/>
            <w:u w:val="single"/>
            <w:rtl w:val="0"/>
          </w:rPr>
          <w:t xml:space="preserve">Současná scénografie je asi jedním z nejzajímavějších uměleckých oborů</w:t>
        </w:r>
      </w:hyperlink>
      <w:r w:rsidDel="00000000" w:rsidR="00000000" w:rsidRPr="00000000">
        <w:rPr>
          <w:rFonts w:ascii="Georgia" w:cs="Georgia" w:eastAsia="Georgia" w:hAnsi="Georgia"/>
          <w:i w:val="1"/>
          <w:color w:val="000000"/>
          <w:sz w:val="18"/>
          <w:szCs w:val="18"/>
          <w:rtl w:val="0"/>
        </w:rPr>
        <w:t xml:space="preserve">, nabízející hluboké a nezapomenutelné zážitky divákům, aktivním účastníkům i široké veřejnosti.</w:t>
      </w:r>
    </w:p>
    <w:p w:rsidR="00000000" w:rsidDel="00000000" w:rsidP="00000000" w:rsidRDefault="00000000" w:rsidRPr="00000000" w14:paraId="0000001F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V roce 2015 Pražské Quadriennale získalo cenu EFFE a bylo jmenováno jedním z nejinovativnějších festivalů v Evropě.</w:t>
      </w:r>
    </w:p>
    <w:p w:rsidR="00000000" w:rsidDel="00000000" w:rsidP="00000000" w:rsidRDefault="00000000" w:rsidRPr="00000000" w14:paraId="00000021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64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Pražské Quadriennale pořádá Ministerstvo kultury ČR</w:t>
        <w:br w:type="textWrapping"/>
        <w:t xml:space="preserve">a organizuje Institut umění – Divadelní ústav.</w:t>
      </w:r>
    </w:p>
    <w:p w:rsidR="00000000" w:rsidDel="00000000" w:rsidP="00000000" w:rsidRDefault="00000000" w:rsidRPr="00000000" w14:paraId="00000024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Pod záštitou: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Petra Pavla, prezidenta České republiky, Bohuslava Svobody, primátora hl. m. Prahy, Evropské festivalové asociace, UNESCO – Diversity of Cultural Expressions</w:t>
      </w:r>
    </w:p>
    <w:p w:rsidR="00000000" w:rsidDel="00000000" w:rsidP="00000000" w:rsidRDefault="00000000" w:rsidRPr="00000000" w14:paraId="00000026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S finanční podporou: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Národní plán obnovy – NextGenerationEU, Hlavní město Praha</w:t>
      </w:r>
    </w:p>
    <w:p w:rsidR="00000000" w:rsidDel="00000000" w:rsidP="00000000" w:rsidRDefault="00000000" w:rsidRPr="00000000" w14:paraId="00000028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Generální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Volkswagen – Užitkové vozy</w:t>
      </w:r>
    </w:p>
    <w:p w:rsidR="00000000" w:rsidDel="00000000" w:rsidP="00000000" w:rsidRDefault="00000000" w:rsidRPr="00000000" w14:paraId="0000002A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Generální mediální partner: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Česká televize</w:t>
      </w:r>
    </w:p>
    <w:p w:rsidR="00000000" w:rsidDel="00000000" w:rsidP="00000000" w:rsidRDefault="00000000" w:rsidRPr="00000000" w14:paraId="0000002B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Technologický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Alza.cz</w:t>
      </w:r>
    </w:p>
    <w:p w:rsidR="00000000" w:rsidDel="00000000" w:rsidP="00000000" w:rsidRDefault="00000000" w:rsidRPr="00000000" w14:paraId="0000002D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Hlavní mediální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Český rozhlas</w:t>
      </w:r>
    </w:p>
    <w:p w:rsidR="00000000" w:rsidDel="00000000" w:rsidP="00000000" w:rsidRDefault="00000000" w:rsidRPr="00000000" w14:paraId="0000002E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Hlavní partner: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Mama Shelter Prague</w:t>
      </w:r>
    </w:p>
    <w:p w:rsidR="00000000" w:rsidDel="00000000" w:rsidP="00000000" w:rsidRDefault="00000000" w:rsidRPr="00000000" w14:paraId="0000002F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Partneři: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Vinohradský pivovar, PageFive, Studio Bauhaus, EKO-KOM</w:t>
      </w:r>
    </w:p>
    <w:p w:rsidR="00000000" w:rsidDel="00000000" w:rsidP="00000000" w:rsidRDefault="00000000" w:rsidRPr="00000000" w14:paraId="00000031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Institucionální partneři: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Národní galerie Praha, Divadelní fakulta Akademie múzických umění v Praze, Goethe-Institut, Česká centra, Městská část Praha 7,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Ministerstvo zahraničních věcí České republiky, Česko-německý fond budoucnosti</w:t>
      </w:r>
    </w:p>
    <w:p w:rsidR="00000000" w:rsidDel="00000000" w:rsidP="00000000" w:rsidRDefault="00000000" w:rsidRPr="00000000" w14:paraId="00000033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Mediální partneři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: A2, A2larm, Artikl, Czechdesign, Czech Crunch, Deník N, Radio 1, FullMoon Magazine, Bio Oko, Artmap, Divadelní noviny, Svět a divadlo, divadlo.cz, Taneční zóna, Proti šedi, Newstream, culturenet.cz, ArtsCzech, Knowledge Exchange Platform, Theater der Zeit, Dezeen</w:t>
      </w:r>
    </w:p>
    <w:p w:rsidR="00000000" w:rsidDel="00000000" w:rsidP="00000000" w:rsidRDefault="00000000" w:rsidRPr="00000000" w14:paraId="00000035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Ve spolupráci s: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Holešovická tržnice, 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Art&amp;Digital Lab - H40, Máš umělecké střevo?, Tanec Praha, Výstaviště Praha, Jatka78, PerformCzech, Program PQ+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platformy PerformCzech, Jednota, ROBE, Wikimedia Česká republika, CzechTourism, Městská část Praha 2, Národní hřebčín Kladruby nad Labem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PQ je součástí</w:t>
      </w:r>
      <w:r w:rsidDel="00000000" w:rsidR="00000000" w:rsidRPr="00000000">
        <w:rPr>
          <w:rFonts w:ascii="Georgia" w:cs="Georgia" w:eastAsia="Georgia" w:hAnsi="Georgia"/>
          <w:color w:val="000000"/>
          <w:sz w:val="20"/>
          <w:szCs w:val="20"/>
          <w:rtl w:val="0"/>
        </w:rPr>
        <w:t xml:space="preserve"> projektu Active CITY(zens) podpořeného z programu Kreativní Evropa. IDU je součástí projektu DECONFINIG</w:t>
      </w:r>
    </w:p>
    <w:p w:rsidR="00000000" w:rsidDel="00000000" w:rsidP="00000000" w:rsidRDefault="00000000" w:rsidRPr="00000000" w14:paraId="00000039">
      <w:pPr>
        <w:pBdr>
          <w:bottom w:color="000000" w:space="1" w:sz="6" w:val="single"/>
        </w:pBdr>
        <w:spacing w:line="264" w:lineRule="auto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Kontakty pro média:</w:t>
      </w:r>
    </w:p>
    <w:p w:rsidR="00000000" w:rsidDel="00000000" w:rsidP="00000000" w:rsidRDefault="00000000" w:rsidRPr="00000000" w14:paraId="0000003C">
      <w:pPr>
        <w:tabs>
          <w:tab w:val="left" w:leader="none" w:pos="4962"/>
          <w:tab w:val="left" w:leader="none" w:pos="7100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Michaela Sikorová</w:t>
        <w:tab/>
        <w:t xml:space="preserve">Adam Dudek</w:t>
      </w:r>
    </w:p>
    <w:p w:rsidR="00000000" w:rsidDel="00000000" w:rsidP="00000000" w:rsidRDefault="00000000" w:rsidRPr="00000000" w14:paraId="0000003D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PR Manager</w:t>
        <w:tab/>
        <w:t xml:space="preserve">Head of Communications</w:t>
      </w:r>
    </w:p>
    <w:p w:rsidR="00000000" w:rsidDel="00000000" w:rsidP="00000000" w:rsidRDefault="00000000" w:rsidRPr="00000000" w14:paraId="0000003E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1">
        <w:r w:rsidDel="00000000" w:rsidR="00000000" w:rsidRPr="00000000">
          <w:rPr>
            <w:rFonts w:ascii="Georgia" w:cs="Georgia" w:eastAsia="Georgia" w:hAnsi="Georgia"/>
            <w:sz w:val="20"/>
            <w:szCs w:val="20"/>
            <w:u w:val="single"/>
            <w:rtl w:val="0"/>
          </w:rPr>
          <w:t xml:space="preserve">michaela.sikorova@pq.cz</w:t>
        </w:r>
      </w:hyperlink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;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+420 776 712 858</w:t>
      </w:r>
      <w:r w:rsidDel="00000000" w:rsidR="00000000" w:rsidRPr="00000000">
        <w:rPr>
          <w:rFonts w:ascii="Georgia" w:cs="Georgia" w:eastAsia="Georgia" w:hAnsi="Georgia"/>
          <w:rtl w:val="0"/>
        </w:rPr>
        <w:tab/>
      </w:r>
      <w:hyperlink r:id="rId12">
        <w:r w:rsidDel="00000000" w:rsidR="00000000" w:rsidRPr="00000000">
          <w:rPr>
            <w:rFonts w:ascii="Georgia" w:cs="Georgia" w:eastAsia="Georgia" w:hAnsi="Georgia"/>
            <w:sz w:val="20"/>
            <w:szCs w:val="20"/>
            <w:u w:val="single"/>
            <w:rtl w:val="0"/>
          </w:rPr>
          <w:t xml:space="preserve">adam.dudek@pq.cz</w:t>
        </w:r>
      </w:hyperlink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; +420 776 199 087</w:t>
      </w:r>
    </w:p>
    <w:p w:rsidR="00000000" w:rsidDel="00000000" w:rsidP="00000000" w:rsidRDefault="00000000" w:rsidRPr="00000000" w14:paraId="0000003F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Sledujte PQ na:</w:t>
      </w:r>
    </w:p>
    <w:p w:rsidR="00000000" w:rsidDel="00000000" w:rsidP="00000000" w:rsidRDefault="00000000" w:rsidRPr="00000000" w14:paraId="00000041">
      <w:pPr>
        <w:tabs>
          <w:tab w:val="left" w:leader="none" w:pos="2010"/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</w:rPr>
      </w:pPr>
      <w:hyperlink r:id="rId13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PQ.cz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4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Instagram.com/praguequadrennial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5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Facebook.com/pquadrennial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6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Youtube.com/@PragueQuadrennialPQ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7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Flickr.com/praguequadrennial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hyperlink r:id="rId18">
        <w:r w:rsidDel="00000000" w:rsidR="00000000" w:rsidRPr="00000000">
          <w:rPr>
            <w:rFonts w:ascii="Georgia" w:cs="Georgia" w:eastAsia="Georgia" w:hAnsi="Georgia"/>
            <w:color w:val="000000"/>
            <w:sz w:val="20"/>
            <w:szCs w:val="20"/>
            <w:u w:val="single"/>
            <w:rtl w:val="0"/>
          </w:rPr>
          <w:t xml:space="preserve">Soundcloud.com/prague-quadrennial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962"/>
        </w:tabs>
        <w:spacing w:line="264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default"/>
      <w:footerReference r:id="rId22" w:type="first"/>
      <w:pgSz w:h="16838" w:w="11906" w:orient="portrait"/>
      <w:pgMar w:bottom="1440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083945"/>
          <wp:effectExtent b="0" l="0" r="0" t="0"/>
          <wp:docPr id="2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671830"/>
          <wp:effectExtent b="0" l="0" r="0" t="0"/>
          <wp:docPr id="2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1471930"/>
          <wp:effectExtent b="0" l="0" r="0" t="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4513" w:hanging="4513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31510" cy="817245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3282C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BA7BAE"/>
    <w:pPr>
      <w:tabs>
        <w:tab w:val="center" w:pos="4513"/>
        <w:tab w:val="right" w:pos="9026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 w:val="1"/>
    <w:rsid w:val="00BA7BAE"/>
    <w:pPr>
      <w:tabs>
        <w:tab w:val="center" w:pos="4513"/>
        <w:tab w:val="right" w:pos="9026"/>
      </w:tabs>
    </w:pPr>
  </w:style>
  <w:style w:type="character" w:styleId="ZpatChar" w:customStyle="1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 w:val="1"/>
    <w:rsid w:val="00E3282C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E3282C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ze">
    <w:name w:val="Revision"/>
    <w:hidden w:val="1"/>
    <w:uiPriority w:val="99"/>
    <w:semiHidden w:val="1"/>
    <w:rsid w:val="009251E3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9251E3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251E3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251E3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C43D7"/>
    <w:rPr>
      <w:rFonts w:ascii="Times New Roman" w:cs="Times New Roman" w:hAnsi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C43D7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michaela.sikorova@pq.cz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pq.cz/cz/o-pq/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pq.cz/cz/" TargetMode="External"/><Relationship Id="rId12" Type="http://schemas.openxmlformats.org/officeDocument/2006/relationships/hyperlink" Target="mailto:adam.dudek@pq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q.cz/cz/" TargetMode="External"/><Relationship Id="rId15" Type="http://schemas.openxmlformats.org/officeDocument/2006/relationships/hyperlink" Target="http://facebook.com/pquadrennial" TargetMode="External"/><Relationship Id="rId14" Type="http://schemas.openxmlformats.org/officeDocument/2006/relationships/hyperlink" Target="http://instagram.com/praguequadrennial" TargetMode="External"/><Relationship Id="rId17" Type="http://schemas.openxmlformats.org/officeDocument/2006/relationships/hyperlink" Target="http://flickr.com/praguequadrennial" TargetMode="External"/><Relationship Id="rId16" Type="http://schemas.openxmlformats.org/officeDocument/2006/relationships/hyperlink" Target="http://youtube.com/@PragueQuadrennialPQ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http://soundcloud.com/prague-quadrennial" TargetMode="External"/><Relationship Id="rId7" Type="http://schemas.openxmlformats.org/officeDocument/2006/relationships/hyperlink" Target="https://pq.cz/cz/vstup-na-pq-2/" TargetMode="External"/><Relationship Id="rId8" Type="http://schemas.openxmlformats.org/officeDocument/2006/relationships/hyperlink" Target="https://pq.cz/cz/program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idOm6CLmx0tN2xdx7DGnWURNFg==">CgMxLjA4AHIhMV9wTXQ4c3RPVVRPQTVaSHVSeUJnNU9iUnBsdW0zSy00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2023-05-09T10:19:00Z</dcterms:created>
  <dc:creator>Microsoft Office User</dc:creator>
</cp:coreProperties>
</file>